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46"/>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8D676D" w14:paraId="5DBF8BAD" w14:textId="77777777" w:rsidTr="00D46B12">
        <w:tc>
          <w:tcPr>
            <w:tcW w:w="11052" w:type="dxa"/>
            <w:gridSpan w:val="2"/>
            <w:tcBorders>
              <w:bottom w:val="single" w:sz="4" w:space="0" w:color="auto"/>
            </w:tcBorders>
            <w:shd w:val="clear" w:color="auto" w:fill="D9D9D9"/>
            <w:vAlign w:val="center"/>
          </w:tcPr>
          <w:p w14:paraId="72EBDE64" w14:textId="1057AA64" w:rsidR="00AA799D" w:rsidRPr="008D676D" w:rsidRDefault="00AA799D" w:rsidP="00D46B12">
            <w:pPr>
              <w:pStyle w:val="RTH1"/>
              <w:spacing w:before="120" w:after="120"/>
              <w:rPr>
                <w:rFonts w:ascii="Arial" w:hAnsi="Arial" w:cs="Arial"/>
              </w:rPr>
            </w:pPr>
            <w:r w:rsidRPr="008D676D">
              <w:rPr>
                <w:rFonts w:ascii="Arial" w:hAnsi="Arial" w:cs="Arial"/>
              </w:rPr>
              <w:t>RECORD OF TOOL BOX TALK</w:t>
            </w:r>
          </w:p>
        </w:tc>
      </w:tr>
      <w:tr w:rsidR="00AA799D" w:rsidRPr="008D676D" w14:paraId="269EEE32" w14:textId="77777777" w:rsidTr="00D46B12">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8D676D" w:rsidRDefault="00AA799D" w:rsidP="00D46B12">
            <w:pPr>
              <w:pStyle w:val="RTH2"/>
              <w:tabs>
                <w:tab w:val="left" w:pos="1860"/>
              </w:tabs>
              <w:spacing w:before="120" w:after="120"/>
              <w:rPr>
                <w:rFonts w:ascii="Arial" w:hAnsi="Arial" w:cs="Arial"/>
              </w:rPr>
            </w:pPr>
            <w:r w:rsidRPr="008D676D">
              <w:rPr>
                <w:rFonts w:ascii="Arial" w:hAnsi="Arial" w:cs="Arial"/>
              </w:rPr>
              <w:t>Workplace:</w:t>
            </w:r>
            <w:r w:rsidR="00C5362A" w:rsidRPr="008D676D">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8D676D" w:rsidRDefault="00AA799D" w:rsidP="00D46B12">
            <w:pPr>
              <w:pStyle w:val="RTH2"/>
              <w:spacing w:before="120" w:after="120"/>
              <w:rPr>
                <w:rFonts w:ascii="Arial" w:hAnsi="Arial" w:cs="Arial"/>
              </w:rPr>
            </w:pPr>
            <w:r w:rsidRPr="008D676D">
              <w:rPr>
                <w:rFonts w:ascii="Arial" w:hAnsi="Arial" w:cs="Arial"/>
              </w:rPr>
              <w:t>Date:</w:t>
            </w:r>
          </w:p>
        </w:tc>
      </w:tr>
      <w:tr w:rsidR="00AA799D" w:rsidRPr="008D676D" w14:paraId="339A681F" w14:textId="77777777" w:rsidTr="00D46B12">
        <w:tc>
          <w:tcPr>
            <w:tcW w:w="6697" w:type="dxa"/>
            <w:tcBorders>
              <w:top w:val="single" w:sz="4" w:space="0" w:color="auto"/>
              <w:right w:val="nil"/>
            </w:tcBorders>
          </w:tcPr>
          <w:p w14:paraId="3A24C0AB" w14:textId="77777777" w:rsidR="00AA799D" w:rsidRPr="008D676D" w:rsidRDefault="00AA799D" w:rsidP="00D46B12">
            <w:pPr>
              <w:pStyle w:val="RTH2"/>
              <w:spacing w:before="120" w:after="120"/>
              <w:rPr>
                <w:rFonts w:ascii="Arial" w:hAnsi="Arial" w:cs="Arial"/>
              </w:rPr>
            </w:pPr>
            <w:r w:rsidRPr="008D676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8D676D" w:rsidRDefault="00AA799D" w:rsidP="00D46B12">
            <w:pPr>
              <w:pStyle w:val="RTH2"/>
              <w:spacing w:before="120" w:after="120"/>
              <w:rPr>
                <w:rFonts w:ascii="Arial" w:hAnsi="Arial" w:cs="Arial"/>
              </w:rPr>
            </w:pPr>
            <w:r w:rsidRPr="008D676D">
              <w:rPr>
                <w:rFonts w:ascii="Arial" w:hAnsi="Arial" w:cs="Arial"/>
              </w:rPr>
              <w:t>Time:</w:t>
            </w:r>
          </w:p>
        </w:tc>
      </w:tr>
      <w:tr w:rsidR="00382560" w:rsidRPr="008D676D" w14:paraId="10282AA8" w14:textId="77777777" w:rsidTr="00D46B12">
        <w:tc>
          <w:tcPr>
            <w:tcW w:w="11052" w:type="dxa"/>
            <w:gridSpan w:val="2"/>
            <w:shd w:val="clear" w:color="auto" w:fill="D9D9D9"/>
          </w:tcPr>
          <w:p w14:paraId="52548968" w14:textId="7A7A21CE" w:rsidR="00382560" w:rsidRPr="008D676D" w:rsidRDefault="00BB2FBE" w:rsidP="00D46B12">
            <w:pPr>
              <w:pStyle w:val="RTH2"/>
              <w:spacing w:before="120" w:after="120"/>
              <w:rPr>
                <w:rFonts w:ascii="Arial" w:hAnsi="Arial" w:cs="Arial"/>
                <w:b w:val="0"/>
              </w:rPr>
            </w:pPr>
            <w:r w:rsidRPr="008D676D">
              <w:rPr>
                <w:rFonts w:ascii="Arial" w:hAnsi="Arial" w:cs="Arial"/>
              </w:rPr>
              <w:t>Topics discussed</w:t>
            </w:r>
            <w:r w:rsidR="00264232" w:rsidRPr="008D676D">
              <w:rPr>
                <w:rFonts w:ascii="Arial" w:hAnsi="Arial" w:cs="Arial"/>
              </w:rPr>
              <w:t xml:space="preserve">: </w:t>
            </w:r>
            <w:r w:rsidR="00043EF8" w:rsidRPr="008D676D">
              <w:rPr>
                <w:rFonts w:ascii="Arial" w:hAnsi="Arial" w:cs="Arial"/>
              </w:rPr>
              <w:t>Accident / Incident / Illness Reporting</w:t>
            </w:r>
          </w:p>
        </w:tc>
      </w:tr>
      <w:tr w:rsidR="00382560" w:rsidRPr="008D676D" w14:paraId="397B5952" w14:textId="77777777" w:rsidTr="0095622E">
        <w:trPr>
          <w:trHeight w:val="11938"/>
        </w:trPr>
        <w:tc>
          <w:tcPr>
            <w:tcW w:w="11052" w:type="dxa"/>
            <w:gridSpan w:val="2"/>
          </w:tcPr>
          <w:p w14:paraId="53C01824" w14:textId="6DC0DFF7" w:rsidR="00043EF8" w:rsidRPr="008D676D" w:rsidRDefault="00DC5D8D" w:rsidP="00D46B12">
            <w:pPr>
              <w:pStyle w:val="Heading2"/>
              <w:shd w:val="clear" w:color="auto" w:fill="FFFFFF"/>
              <w:spacing w:before="0" w:after="75" w:line="390" w:lineRule="atLeast"/>
              <w:rPr>
                <w:rFonts w:ascii="Arial" w:hAnsi="Arial" w:cs="Arial"/>
                <w:b/>
                <w:bCs/>
                <w:color w:val="A51C30"/>
                <w:sz w:val="22"/>
                <w:szCs w:val="22"/>
              </w:rPr>
            </w:pPr>
            <w:r w:rsidRPr="008D676D">
              <w:rPr>
                <w:rFonts w:ascii="Arial" w:hAnsi="Arial" w:cs="Arial"/>
                <w:b/>
                <w:bCs/>
                <w:color w:val="A51C30"/>
                <w:sz w:val="22"/>
                <w:szCs w:val="22"/>
              </w:rPr>
              <w:t>BACK ISSUES AND PREVENTION</w:t>
            </w:r>
          </w:p>
          <w:p w14:paraId="06A1393B" w14:textId="5C5B1B3F" w:rsidR="00DC5D8D" w:rsidRPr="008D676D" w:rsidRDefault="00DC5D8D" w:rsidP="00D46B12">
            <w:pPr>
              <w:shd w:val="clear" w:color="auto" w:fill="FFFFFF"/>
              <w:spacing w:after="225"/>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 xml:space="preserve">Back injuries are some of the most prevalent and hardest-to-prevent injuries on the job. According to the Australian Bureau of </w:t>
            </w:r>
            <w:r w:rsidR="0095622E" w:rsidRPr="008D676D">
              <w:rPr>
                <w:rFonts w:ascii="Arial" w:eastAsia="Times New Roman" w:hAnsi="Arial" w:cs="Arial"/>
                <w:color w:val="000000"/>
                <w:sz w:val="22"/>
                <w:szCs w:val="22"/>
                <w:lang w:eastAsia="en-AU"/>
              </w:rPr>
              <w:t>S</w:t>
            </w:r>
            <w:r w:rsidRPr="008D676D">
              <w:rPr>
                <w:rFonts w:ascii="Arial" w:eastAsia="Times New Roman" w:hAnsi="Arial" w:cs="Arial"/>
                <w:color w:val="000000"/>
                <w:sz w:val="22"/>
                <w:szCs w:val="22"/>
                <w:lang w:eastAsia="en-AU"/>
              </w:rPr>
              <w:t xml:space="preserve">tatistics about 4 million Australians (16% of total population) suffer back injuries each year, and back injuries account for </w:t>
            </w:r>
            <w:r w:rsidRPr="008D676D">
              <w:rPr>
                <w:rFonts w:ascii="Arial" w:eastAsia="Times New Roman" w:hAnsi="Arial" w:cs="Arial"/>
                <w:color w:val="000000"/>
                <w:sz w:val="22"/>
                <w:szCs w:val="22"/>
                <w:u w:val="single"/>
                <w:lang w:eastAsia="en-AU"/>
              </w:rPr>
              <w:t>one of every four workplace injuries or illnesses.</w:t>
            </w:r>
            <w:r w:rsidRPr="008D676D">
              <w:rPr>
                <w:rFonts w:ascii="Arial" w:eastAsia="Times New Roman" w:hAnsi="Arial" w:cs="Arial"/>
                <w:color w:val="000000"/>
                <w:sz w:val="22"/>
                <w:szCs w:val="22"/>
                <w:lang w:eastAsia="en-AU"/>
              </w:rPr>
              <w:t> These types of injuries account for a large majority of worker’s compensation claims every year.</w:t>
            </w:r>
          </w:p>
          <w:p w14:paraId="721D484C" w14:textId="77777777" w:rsidR="00DC5D8D" w:rsidRPr="008D676D" w:rsidRDefault="00DC5D8D" w:rsidP="00D46B12">
            <w:pPr>
              <w:shd w:val="clear" w:color="auto" w:fill="FFFFFF"/>
              <w:spacing w:after="225"/>
              <w:outlineLvl w:val="2"/>
              <w:rPr>
                <w:rFonts w:ascii="Arial" w:eastAsia="Times New Roman" w:hAnsi="Arial" w:cs="Arial"/>
                <w:color w:val="4F81BD" w:themeColor="accent1"/>
                <w:sz w:val="22"/>
                <w:szCs w:val="22"/>
                <w:lang w:eastAsia="en-AU"/>
              </w:rPr>
            </w:pPr>
            <w:r w:rsidRPr="008D676D">
              <w:rPr>
                <w:rFonts w:ascii="Arial" w:eastAsia="Times New Roman" w:hAnsi="Arial" w:cs="Arial"/>
                <w:b/>
                <w:bCs/>
                <w:color w:val="4F81BD" w:themeColor="accent1"/>
                <w:sz w:val="22"/>
                <w:szCs w:val="22"/>
                <w:lang w:eastAsia="en-AU"/>
              </w:rPr>
              <w:t>Back injuries often occur when:</w:t>
            </w:r>
          </w:p>
          <w:p w14:paraId="686B90D4" w14:textId="77777777" w:rsidR="00DC5D8D" w:rsidRPr="008D676D" w:rsidRDefault="00DC5D8D" w:rsidP="00D46B12">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An individual is lifting up an object</w:t>
            </w:r>
          </w:p>
          <w:p w14:paraId="01A013B9" w14:textId="77777777" w:rsidR="00DC5D8D" w:rsidRPr="008D676D" w:rsidRDefault="00DC5D8D" w:rsidP="00D46B12">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Using improper lifting techniques such as lifting with the back and not the legs</w:t>
            </w:r>
          </w:p>
          <w:p w14:paraId="75215999" w14:textId="77777777" w:rsidR="00DC5D8D" w:rsidRPr="008D676D" w:rsidRDefault="00DC5D8D" w:rsidP="00D46B12">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Lifting an object that is too heavy for the individual</w:t>
            </w:r>
          </w:p>
          <w:p w14:paraId="1B774808" w14:textId="77777777" w:rsidR="00DC5D8D" w:rsidRPr="008D676D" w:rsidRDefault="00DC5D8D" w:rsidP="00D46B12">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Twisting while lifting or carrying objects</w:t>
            </w:r>
          </w:p>
          <w:p w14:paraId="4A132D41" w14:textId="77777777" w:rsidR="00DC5D8D" w:rsidRPr="008D676D" w:rsidRDefault="00DC5D8D" w:rsidP="00D46B12">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Repetitive lifting during a work task</w:t>
            </w:r>
          </w:p>
          <w:p w14:paraId="5CBBE1FD" w14:textId="1E63A011" w:rsidR="00DC5D8D" w:rsidRPr="008D676D" w:rsidRDefault="00DC5D8D" w:rsidP="00D46B12">
            <w:pPr>
              <w:shd w:val="clear" w:color="auto" w:fill="FFFFFF"/>
              <w:spacing w:after="225"/>
              <w:outlineLvl w:val="2"/>
              <w:rPr>
                <w:rFonts w:ascii="Arial" w:eastAsia="Times New Roman" w:hAnsi="Arial" w:cs="Arial"/>
                <w:color w:val="4F81BD" w:themeColor="accent1"/>
                <w:sz w:val="22"/>
                <w:szCs w:val="22"/>
                <w:lang w:eastAsia="en-AU"/>
              </w:rPr>
            </w:pPr>
            <w:r w:rsidRPr="008D676D">
              <w:rPr>
                <w:rFonts w:ascii="Arial" w:eastAsia="Times New Roman" w:hAnsi="Arial" w:cs="Arial"/>
                <w:b/>
                <w:bCs/>
                <w:color w:val="4F81BD" w:themeColor="accent1"/>
                <w:sz w:val="22"/>
                <w:szCs w:val="22"/>
                <w:lang w:eastAsia="en-AU"/>
              </w:rPr>
              <w:t>Ways to Prevent Back Injuries</w:t>
            </w:r>
          </w:p>
          <w:p w14:paraId="2ED99CC6" w14:textId="71439B88" w:rsidR="00DC5D8D" w:rsidRPr="008D676D" w:rsidRDefault="00DC5D8D" w:rsidP="00D46B12">
            <w:pPr>
              <w:shd w:val="clear" w:color="auto" w:fill="FFFFFF"/>
              <w:spacing w:after="225"/>
              <w:rPr>
                <w:rFonts w:ascii="Arial" w:eastAsia="Times New Roman" w:hAnsi="Arial" w:cs="Arial"/>
                <w:color w:val="000000"/>
                <w:sz w:val="22"/>
                <w:szCs w:val="22"/>
                <w:lang w:eastAsia="en-AU"/>
              </w:rPr>
            </w:pPr>
            <w:r w:rsidRPr="008D676D">
              <w:rPr>
                <w:rFonts w:ascii="Arial" w:eastAsia="Times New Roman" w:hAnsi="Arial" w:cs="Arial"/>
                <w:b/>
                <w:bCs/>
                <w:color w:val="000000"/>
                <w:sz w:val="22"/>
                <w:szCs w:val="22"/>
                <w:u w:val="single"/>
                <w:lang w:eastAsia="en-AU"/>
              </w:rPr>
              <w:t>Eliminate</w:t>
            </w:r>
            <w:r w:rsidRPr="008D676D">
              <w:rPr>
                <w:rFonts w:ascii="Arial" w:eastAsia="Times New Roman" w:hAnsi="Arial" w:cs="Arial"/>
                <w:color w:val="000000"/>
                <w:sz w:val="22"/>
                <w:szCs w:val="22"/>
                <w:lang w:eastAsia="en-AU"/>
              </w:rPr>
              <w:t>– The best way to protect individuals against back injuries is to</w:t>
            </w:r>
            <w:hyperlink r:id="rId11" w:history="1">
              <w:r w:rsidRPr="008D676D">
                <w:rPr>
                  <w:rFonts w:ascii="Arial" w:eastAsia="Times New Roman" w:hAnsi="Arial" w:cs="Arial"/>
                  <w:b/>
                  <w:bCs/>
                  <w:color w:val="294A70"/>
                  <w:sz w:val="22"/>
                  <w:szCs w:val="22"/>
                  <w:u w:val="single"/>
                  <w:lang w:eastAsia="en-AU"/>
                </w:rPr>
                <w:t> </w:t>
              </w:r>
              <w:r w:rsidRPr="008D676D">
                <w:rPr>
                  <w:rFonts w:ascii="Arial" w:eastAsia="Times New Roman" w:hAnsi="Arial" w:cs="Arial"/>
                  <w:sz w:val="22"/>
                  <w:szCs w:val="22"/>
                  <w:u w:val="single"/>
                  <w:lang w:eastAsia="en-AU"/>
                </w:rPr>
                <w:t>eliminate </w:t>
              </w:r>
            </w:hyperlink>
            <w:r w:rsidRPr="008D676D">
              <w:rPr>
                <w:rFonts w:ascii="Arial" w:eastAsia="Times New Roman" w:hAnsi="Arial" w:cs="Arial"/>
                <w:color w:val="000000"/>
                <w:sz w:val="22"/>
                <w:szCs w:val="22"/>
                <w:lang w:eastAsia="en-AU"/>
              </w:rPr>
              <w:t>as many lifts as possible during the workday. Using equipment such as forklifts</w:t>
            </w:r>
            <w:r w:rsidR="00D46B12" w:rsidRPr="008D676D">
              <w:rPr>
                <w:rFonts w:ascii="Arial" w:eastAsia="Times New Roman" w:hAnsi="Arial" w:cs="Arial"/>
                <w:color w:val="000000"/>
                <w:sz w:val="22"/>
                <w:szCs w:val="22"/>
                <w:lang w:eastAsia="en-AU"/>
              </w:rPr>
              <w:t xml:space="preserve"> </w:t>
            </w:r>
            <w:r w:rsidRPr="008D676D">
              <w:rPr>
                <w:rFonts w:ascii="Arial" w:eastAsia="Times New Roman" w:hAnsi="Arial" w:cs="Arial"/>
                <w:color w:val="000000"/>
                <w:sz w:val="22"/>
                <w:szCs w:val="22"/>
                <w:lang w:eastAsia="en-AU"/>
              </w:rPr>
              <w:t>etc. is the best way to achieve eliminating handling. Break down large or heavy objects that pose a hazard</w:t>
            </w:r>
            <w:r w:rsidR="00D46B12" w:rsidRPr="008D676D">
              <w:rPr>
                <w:rFonts w:ascii="Arial" w:eastAsia="Times New Roman" w:hAnsi="Arial" w:cs="Arial"/>
                <w:color w:val="000000"/>
                <w:sz w:val="22"/>
                <w:szCs w:val="22"/>
                <w:lang w:eastAsia="en-AU"/>
              </w:rPr>
              <w:t>.</w:t>
            </w:r>
            <w:r w:rsidRPr="008D676D">
              <w:rPr>
                <w:rFonts w:ascii="Arial" w:eastAsia="Times New Roman" w:hAnsi="Arial" w:cs="Arial"/>
                <w:color w:val="000000"/>
                <w:sz w:val="22"/>
                <w:szCs w:val="22"/>
                <w:lang w:eastAsia="en-AU"/>
              </w:rPr>
              <w:t xml:space="preserve"> </w:t>
            </w:r>
          </w:p>
          <w:p w14:paraId="6D60270D" w14:textId="0A7575E4" w:rsidR="00DC5D8D" w:rsidRPr="008D676D" w:rsidRDefault="00DC5D8D" w:rsidP="00D46B12">
            <w:pPr>
              <w:shd w:val="clear" w:color="auto" w:fill="FFFFFF"/>
              <w:spacing w:after="225"/>
              <w:rPr>
                <w:rFonts w:ascii="Arial" w:eastAsia="Times New Roman" w:hAnsi="Arial" w:cs="Arial"/>
                <w:color w:val="000000"/>
                <w:sz w:val="22"/>
                <w:szCs w:val="22"/>
                <w:lang w:eastAsia="en-AU"/>
              </w:rPr>
            </w:pPr>
            <w:r w:rsidRPr="008D676D">
              <w:rPr>
                <w:rFonts w:ascii="Arial" w:eastAsia="Times New Roman" w:hAnsi="Arial" w:cs="Arial"/>
                <w:b/>
                <w:bCs/>
                <w:color w:val="000000"/>
                <w:sz w:val="22"/>
                <w:szCs w:val="22"/>
                <w:u w:val="single"/>
                <w:lang w:eastAsia="en-AU"/>
              </w:rPr>
              <w:t>Engineering Controls</w:t>
            </w:r>
            <w:r w:rsidRPr="008D676D">
              <w:rPr>
                <w:rFonts w:ascii="Arial" w:eastAsia="Times New Roman" w:hAnsi="Arial" w:cs="Arial"/>
                <w:color w:val="000000"/>
                <w:sz w:val="22"/>
                <w:szCs w:val="22"/>
                <w:lang w:eastAsia="en-AU"/>
              </w:rPr>
              <w:t xml:space="preserve">– Set up work areas that are ergonomically friendly to all employees. Install mechanical lifting devices where feasible to limit handling objects. Install proper shelving and set up storage areas that keep objects and lifts within an optimal range. </w:t>
            </w:r>
          </w:p>
          <w:p w14:paraId="1CC716BC" w14:textId="286D6BD4" w:rsidR="00DC5D8D" w:rsidRPr="008D676D" w:rsidRDefault="00DC5D8D" w:rsidP="00D46B12">
            <w:pPr>
              <w:shd w:val="clear" w:color="auto" w:fill="FFFFFF"/>
              <w:spacing w:after="225"/>
              <w:rPr>
                <w:rFonts w:ascii="Arial" w:eastAsia="Times New Roman" w:hAnsi="Arial" w:cs="Arial"/>
                <w:color w:val="000000"/>
                <w:sz w:val="22"/>
                <w:szCs w:val="22"/>
                <w:lang w:eastAsia="en-AU"/>
              </w:rPr>
            </w:pPr>
            <w:r w:rsidRPr="008D676D">
              <w:rPr>
                <w:rFonts w:ascii="Arial" w:eastAsia="Times New Roman" w:hAnsi="Arial" w:cs="Arial"/>
                <w:b/>
                <w:bCs/>
                <w:color w:val="000000"/>
                <w:sz w:val="22"/>
                <w:szCs w:val="22"/>
                <w:u w:val="single"/>
                <w:lang w:eastAsia="en-AU"/>
              </w:rPr>
              <w:t>Administrative Controls</w:t>
            </w:r>
            <w:r w:rsidRPr="008D676D">
              <w:rPr>
                <w:rFonts w:ascii="Arial" w:eastAsia="Times New Roman" w:hAnsi="Arial" w:cs="Arial"/>
                <w:color w:val="000000"/>
                <w:sz w:val="22"/>
                <w:szCs w:val="22"/>
                <w:lang w:eastAsia="en-AU"/>
              </w:rPr>
              <w:t xml:space="preserve">– Use the buddy system when lifting any awkward or heavy objects. Agree on weight limits for lifting. For example, having a policy to not lift anything over </w:t>
            </w:r>
            <w:r w:rsidR="00D46B12" w:rsidRPr="008D676D">
              <w:rPr>
                <w:rFonts w:ascii="Arial" w:eastAsia="Times New Roman" w:hAnsi="Arial" w:cs="Arial"/>
                <w:color w:val="000000"/>
                <w:sz w:val="22"/>
                <w:szCs w:val="22"/>
                <w:lang w:eastAsia="en-AU"/>
              </w:rPr>
              <w:t>45 kg</w:t>
            </w:r>
            <w:r w:rsidRPr="008D676D">
              <w:rPr>
                <w:rFonts w:ascii="Arial" w:eastAsia="Times New Roman" w:hAnsi="Arial" w:cs="Arial"/>
                <w:color w:val="000000"/>
                <w:sz w:val="22"/>
                <w:szCs w:val="22"/>
                <w:lang w:eastAsia="en-AU"/>
              </w:rPr>
              <w:t xml:space="preserve"> as a team without first involving a supervisor to see if there is a safer way to complete the lift is an administrative control. Also, always select employees who are physically capable of making the lifts of a task before the work begins.</w:t>
            </w:r>
          </w:p>
          <w:p w14:paraId="1CBFEB43" w14:textId="6B39916A" w:rsidR="00DC5D8D" w:rsidRPr="008D676D" w:rsidRDefault="00DC5D8D" w:rsidP="00D46B12">
            <w:pPr>
              <w:shd w:val="clear" w:color="auto" w:fill="FFFFFF"/>
              <w:spacing w:after="225"/>
              <w:rPr>
                <w:rFonts w:ascii="Arial" w:eastAsia="Times New Roman" w:hAnsi="Arial" w:cs="Arial"/>
                <w:color w:val="000000"/>
                <w:sz w:val="22"/>
                <w:szCs w:val="22"/>
                <w:u w:val="single"/>
                <w:lang w:eastAsia="en-AU"/>
              </w:rPr>
            </w:pPr>
            <w:r w:rsidRPr="008D676D">
              <w:rPr>
                <w:rFonts w:ascii="Arial" w:eastAsia="Times New Roman" w:hAnsi="Arial" w:cs="Arial"/>
                <w:b/>
                <w:bCs/>
                <w:color w:val="000000"/>
                <w:sz w:val="22"/>
                <w:szCs w:val="22"/>
                <w:u w:val="single"/>
                <w:lang w:eastAsia="en-AU"/>
              </w:rPr>
              <w:t>Personal protective equipment</w:t>
            </w:r>
            <w:r w:rsidRPr="008D676D">
              <w:rPr>
                <w:rFonts w:ascii="Arial" w:eastAsia="Times New Roman" w:hAnsi="Arial" w:cs="Arial"/>
                <w:color w:val="000000"/>
                <w:sz w:val="22"/>
                <w:szCs w:val="22"/>
                <w:lang w:eastAsia="en-AU"/>
              </w:rPr>
              <w:t> such as back supports</w:t>
            </w:r>
            <w:r w:rsidR="00D46B12" w:rsidRPr="008D676D">
              <w:rPr>
                <w:rFonts w:ascii="Arial" w:eastAsia="Times New Roman" w:hAnsi="Arial" w:cs="Arial"/>
                <w:color w:val="000000"/>
                <w:sz w:val="22"/>
                <w:szCs w:val="22"/>
                <w:lang w:eastAsia="en-AU"/>
              </w:rPr>
              <w:t>,</w:t>
            </w:r>
            <w:r w:rsidRPr="008D676D">
              <w:rPr>
                <w:rFonts w:ascii="Arial" w:eastAsia="Times New Roman" w:hAnsi="Arial" w:cs="Arial"/>
                <w:color w:val="000000"/>
                <w:sz w:val="22"/>
                <w:szCs w:val="22"/>
                <w:lang w:eastAsia="en-AU"/>
              </w:rPr>
              <w:t xml:space="preserve"> or back belts have not shown to be overly effective in preventing back injuries. These devices often create a false sense of security when completing lifts. </w:t>
            </w:r>
            <w:r w:rsidRPr="008D676D">
              <w:rPr>
                <w:rFonts w:ascii="Arial" w:eastAsia="Times New Roman" w:hAnsi="Arial" w:cs="Arial"/>
                <w:color w:val="000000"/>
                <w:sz w:val="22"/>
                <w:szCs w:val="22"/>
                <w:u w:val="single"/>
                <w:lang w:eastAsia="en-AU"/>
              </w:rPr>
              <w:t xml:space="preserve">Individuals should focus on stretching and using proper lifting techniques over using a </w:t>
            </w:r>
            <w:proofErr w:type="spellStart"/>
            <w:r w:rsidRPr="008D676D">
              <w:rPr>
                <w:rFonts w:ascii="Arial" w:eastAsia="Times New Roman" w:hAnsi="Arial" w:cs="Arial"/>
                <w:color w:val="000000"/>
                <w:sz w:val="22"/>
                <w:szCs w:val="22"/>
                <w:u w:val="single"/>
                <w:lang w:eastAsia="en-AU"/>
              </w:rPr>
              <w:t>back</w:t>
            </w:r>
            <w:proofErr w:type="spellEnd"/>
            <w:r w:rsidRPr="008D676D">
              <w:rPr>
                <w:rFonts w:ascii="Arial" w:eastAsia="Times New Roman" w:hAnsi="Arial" w:cs="Arial"/>
                <w:color w:val="000000"/>
                <w:sz w:val="22"/>
                <w:szCs w:val="22"/>
                <w:u w:val="single"/>
                <w:lang w:eastAsia="en-AU"/>
              </w:rPr>
              <w:t xml:space="preserve"> belt to keep them safe.</w:t>
            </w:r>
          </w:p>
          <w:p w14:paraId="2E9D7042" w14:textId="77777777" w:rsidR="0095622E" w:rsidRPr="008D676D" w:rsidRDefault="0095622E" w:rsidP="00D46B12">
            <w:pPr>
              <w:shd w:val="clear" w:color="auto" w:fill="FFFFFF"/>
              <w:spacing w:after="225"/>
              <w:outlineLvl w:val="3"/>
              <w:rPr>
                <w:rFonts w:ascii="Arial" w:eastAsia="Times New Roman" w:hAnsi="Arial" w:cs="Arial"/>
                <w:b/>
                <w:bCs/>
                <w:color w:val="294A70"/>
                <w:sz w:val="22"/>
                <w:szCs w:val="22"/>
                <w:lang w:eastAsia="en-AU"/>
              </w:rPr>
            </w:pPr>
          </w:p>
          <w:p w14:paraId="09B12F54" w14:textId="2E312677" w:rsidR="00DC5D8D" w:rsidRPr="008D676D" w:rsidRDefault="00DC5D8D" w:rsidP="00D46B12">
            <w:pPr>
              <w:shd w:val="clear" w:color="auto" w:fill="FFFFFF"/>
              <w:spacing w:after="225"/>
              <w:outlineLvl w:val="3"/>
              <w:rPr>
                <w:rFonts w:ascii="Arial" w:eastAsia="Times New Roman" w:hAnsi="Arial" w:cs="Arial"/>
                <w:b/>
                <w:bCs/>
                <w:color w:val="4F81BD" w:themeColor="accent1"/>
                <w:sz w:val="22"/>
                <w:szCs w:val="22"/>
                <w:lang w:eastAsia="en-AU"/>
              </w:rPr>
            </w:pPr>
            <w:r w:rsidRPr="008D676D">
              <w:rPr>
                <w:rFonts w:ascii="Arial" w:eastAsia="Times New Roman" w:hAnsi="Arial" w:cs="Arial"/>
                <w:b/>
                <w:bCs/>
                <w:color w:val="4F81BD" w:themeColor="accent1"/>
                <w:sz w:val="22"/>
                <w:szCs w:val="22"/>
                <w:lang w:eastAsia="en-AU"/>
              </w:rPr>
              <w:t>Discussion points:</w:t>
            </w:r>
          </w:p>
          <w:p w14:paraId="7F02E352" w14:textId="77777777" w:rsidR="0095622E" w:rsidRPr="008D676D" w:rsidRDefault="0095622E" w:rsidP="0095622E">
            <w:pPr>
              <w:numPr>
                <w:ilvl w:val="0"/>
                <w:numId w:val="26"/>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Are there hazardous lifts we can eliminate in our daily operations?</w:t>
            </w:r>
          </w:p>
          <w:p w14:paraId="2CD7C9C2" w14:textId="77777777" w:rsidR="0095622E" w:rsidRPr="008D676D" w:rsidRDefault="0095622E" w:rsidP="0095622E">
            <w:pPr>
              <w:numPr>
                <w:ilvl w:val="0"/>
                <w:numId w:val="26"/>
              </w:numPr>
              <w:shd w:val="clear" w:color="auto" w:fill="FFFFFF"/>
              <w:spacing w:before="100" w:beforeAutospacing="1" w:after="100" w:afterAutospacing="1"/>
              <w:rPr>
                <w:rFonts w:ascii="Arial" w:eastAsia="Times New Roman" w:hAnsi="Arial" w:cs="Arial"/>
                <w:color w:val="000000"/>
                <w:sz w:val="22"/>
                <w:szCs w:val="22"/>
                <w:lang w:eastAsia="en-AU"/>
              </w:rPr>
            </w:pPr>
            <w:r w:rsidRPr="008D676D">
              <w:rPr>
                <w:rFonts w:ascii="Arial" w:eastAsia="Times New Roman" w:hAnsi="Arial" w:cs="Arial"/>
                <w:color w:val="000000"/>
                <w:sz w:val="22"/>
                <w:szCs w:val="22"/>
                <w:lang w:eastAsia="en-AU"/>
              </w:rPr>
              <w:t>Are we using engineering controls when we cannot eliminate a lift or are we just completing the lifts without looking at a safer way to do them?</w:t>
            </w:r>
          </w:p>
          <w:p w14:paraId="25A9D2A6" w14:textId="77777777" w:rsidR="0095622E" w:rsidRPr="008D676D" w:rsidRDefault="0095622E" w:rsidP="00D46B12">
            <w:pPr>
              <w:shd w:val="clear" w:color="auto" w:fill="FFFFFF"/>
              <w:spacing w:after="225"/>
              <w:outlineLvl w:val="3"/>
              <w:rPr>
                <w:rFonts w:ascii="Arial" w:eastAsia="Times New Roman" w:hAnsi="Arial" w:cs="Arial"/>
                <w:color w:val="294A70"/>
                <w:sz w:val="22"/>
                <w:szCs w:val="22"/>
                <w:lang w:eastAsia="en-AU"/>
              </w:rPr>
            </w:pPr>
          </w:p>
          <w:p w14:paraId="7B34F3D6" w14:textId="1EABE76A" w:rsidR="00B860E5" w:rsidRPr="008D676D" w:rsidRDefault="00B860E5" w:rsidP="00D46B12">
            <w:pPr>
              <w:shd w:val="clear" w:color="auto" w:fill="FFFFFF"/>
              <w:spacing w:before="100" w:beforeAutospacing="1" w:after="100" w:afterAutospacing="1" w:line="300" w:lineRule="atLeast"/>
              <w:rPr>
                <w:rFonts w:ascii="Arial" w:hAnsi="Arial" w:cs="Arial"/>
                <w:color w:val="555555"/>
                <w:sz w:val="23"/>
                <w:szCs w:val="23"/>
              </w:rPr>
            </w:pPr>
          </w:p>
        </w:tc>
      </w:tr>
    </w:tbl>
    <w:p w14:paraId="05838846" w14:textId="77777777" w:rsidR="00180215" w:rsidRPr="008D676D" w:rsidRDefault="00180215" w:rsidP="000E5079">
      <w:pPr>
        <w:pStyle w:val="RTH1"/>
        <w:rPr>
          <w:rFonts w:ascii="Arial" w:hAnsi="Arial" w:cs="Arial"/>
        </w:rPr>
      </w:pPr>
    </w:p>
    <w:sectPr w:rsidR="00180215" w:rsidRPr="008D676D" w:rsidSect="00D46B12">
      <w:headerReference w:type="default" r:id="rId12"/>
      <w:pgSz w:w="11900" w:h="16840"/>
      <w:pgMar w:top="1702" w:right="1134" w:bottom="1134"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9CA1" w14:textId="77777777" w:rsidR="001E2BC8" w:rsidRDefault="001E2BC8" w:rsidP="00F966D8">
      <w:r>
        <w:separator/>
      </w:r>
    </w:p>
  </w:endnote>
  <w:endnote w:type="continuationSeparator" w:id="0">
    <w:p w14:paraId="1DEB2D48" w14:textId="77777777" w:rsidR="001E2BC8" w:rsidRDefault="001E2BC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28D6" w14:textId="77777777" w:rsidR="001E2BC8" w:rsidRDefault="001E2BC8" w:rsidP="00F966D8">
      <w:r>
        <w:separator/>
      </w:r>
    </w:p>
  </w:footnote>
  <w:footnote w:type="continuationSeparator" w:id="0">
    <w:p w14:paraId="1FA99E0F" w14:textId="77777777" w:rsidR="001E2BC8" w:rsidRDefault="001E2BC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250629"/>
    <w:multiLevelType w:val="multilevel"/>
    <w:tmpl w:val="FC96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87E08"/>
    <w:multiLevelType w:val="multilevel"/>
    <w:tmpl w:val="B6D0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880908">
    <w:abstractNumId w:val="20"/>
  </w:num>
  <w:num w:numId="2" w16cid:durableId="1994138960">
    <w:abstractNumId w:val="13"/>
  </w:num>
  <w:num w:numId="3" w16cid:durableId="36711346">
    <w:abstractNumId w:val="11"/>
  </w:num>
  <w:num w:numId="4" w16cid:durableId="761729933">
    <w:abstractNumId w:val="21"/>
  </w:num>
  <w:num w:numId="5" w16cid:durableId="1556354517">
    <w:abstractNumId w:val="25"/>
  </w:num>
  <w:num w:numId="6" w16cid:durableId="1643846577">
    <w:abstractNumId w:val="4"/>
  </w:num>
  <w:num w:numId="7" w16cid:durableId="534540853">
    <w:abstractNumId w:val="2"/>
  </w:num>
  <w:num w:numId="8" w16cid:durableId="366486919">
    <w:abstractNumId w:val="18"/>
  </w:num>
  <w:num w:numId="9" w16cid:durableId="626352964">
    <w:abstractNumId w:val="17"/>
  </w:num>
  <w:num w:numId="10" w16cid:durableId="1912957836">
    <w:abstractNumId w:val="14"/>
  </w:num>
  <w:num w:numId="11" w16cid:durableId="2066760242">
    <w:abstractNumId w:val="6"/>
  </w:num>
  <w:num w:numId="12" w16cid:durableId="1637565840">
    <w:abstractNumId w:val="8"/>
  </w:num>
  <w:num w:numId="13" w16cid:durableId="1797720049">
    <w:abstractNumId w:val="0"/>
  </w:num>
  <w:num w:numId="14" w16cid:durableId="222300066">
    <w:abstractNumId w:val="5"/>
  </w:num>
  <w:num w:numId="15" w16cid:durableId="352458015">
    <w:abstractNumId w:val="16"/>
  </w:num>
  <w:num w:numId="16" w16cid:durableId="729812739">
    <w:abstractNumId w:val="7"/>
  </w:num>
  <w:num w:numId="17" w16cid:durableId="607353152">
    <w:abstractNumId w:val="15"/>
  </w:num>
  <w:num w:numId="18" w16cid:durableId="379481170">
    <w:abstractNumId w:val="23"/>
  </w:num>
  <w:num w:numId="19" w16cid:durableId="1209495136">
    <w:abstractNumId w:val="12"/>
  </w:num>
  <w:num w:numId="20" w16cid:durableId="815954543">
    <w:abstractNumId w:val="10"/>
  </w:num>
  <w:num w:numId="21" w16cid:durableId="1852836843">
    <w:abstractNumId w:val="1"/>
  </w:num>
  <w:num w:numId="22" w16cid:durableId="693271172">
    <w:abstractNumId w:val="19"/>
  </w:num>
  <w:num w:numId="23" w16cid:durableId="1681197987">
    <w:abstractNumId w:val="3"/>
  </w:num>
  <w:num w:numId="24" w16cid:durableId="2086149006">
    <w:abstractNumId w:val="22"/>
  </w:num>
  <w:num w:numId="25" w16cid:durableId="1763990524">
    <w:abstractNumId w:val="24"/>
  </w:num>
  <w:num w:numId="26" w16cid:durableId="233976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1E2BC8"/>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32A1"/>
    <w:rsid w:val="006E0EF8"/>
    <w:rsid w:val="007918BC"/>
    <w:rsid w:val="007954F1"/>
    <w:rsid w:val="007E3E27"/>
    <w:rsid w:val="00801F54"/>
    <w:rsid w:val="0081473A"/>
    <w:rsid w:val="0082651A"/>
    <w:rsid w:val="008A3D7A"/>
    <w:rsid w:val="008D676D"/>
    <w:rsid w:val="009417C1"/>
    <w:rsid w:val="0095622E"/>
    <w:rsid w:val="00A00FCD"/>
    <w:rsid w:val="00A22242"/>
    <w:rsid w:val="00A47DDF"/>
    <w:rsid w:val="00A930CA"/>
    <w:rsid w:val="00AA799D"/>
    <w:rsid w:val="00AF0A2A"/>
    <w:rsid w:val="00AF45AF"/>
    <w:rsid w:val="00B72FF1"/>
    <w:rsid w:val="00B860E5"/>
    <w:rsid w:val="00BB2FBE"/>
    <w:rsid w:val="00BE29D2"/>
    <w:rsid w:val="00C5362A"/>
    <w:rsid w:val="00C625C1"/>
    <w:rsid w:val="00CB59B8"/>
    <w:rsid w:val="00CF3569"/>
    <w:rsid w:val="00CF5605"/>
    <w:rsid w:val="00D02588"/>
    <w:rsid w:val="00D1472D"/>
    <w:rsid w:val="00D46B12"/>
    <w:rsid w:val="00D91273"/>
    <w:rsid w:val="00DC5D8D"/>
    <w:rsid w:val="00E13B2E"/>
    <w:rsid w:val="00E720E9"/>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5D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 w:type="character" w:customStyle="1" w:styleId="Heading3Char">
    <w:name w:val="Heading 3 Char"/>
    <w:basedOn w:val="DefaultParagraphFont"/>
    <w:link w:val="Heading3"/>
    <w:uiPriority w:val="9"/>
    <w:semiHidden/>
    <w:rsid w:val="00DC5D8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34049008">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talkideas.com/safetytalks/elimination-of-haz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2.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4.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4</cp:revision>
  <cp:lastPrinted>2018-05-22T04:27:00Z</cp:lastPrinted>
  <dcterms:created xsi:type="dcterms:W3CDTF">2022-02-07T00:09:00Z</dcterms:created>
  <dcterms:modified xsi:type="dcterms:W3CDTF">2022-07-08T02:53:00Z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